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6D" w:rsidRDefault="005D026D" w:rsidP="005D026D">
      <w:pPr>
        <w:autoSpaceDE w:val="0"/>
        <w:autoSpaceDN w:val="0"/>
        <w:spacing w:line="360" w:lineRule="auto"/>
        <w:jc w:val="center"/>
        <w:outlineLvl w:val="2"/>
        <w:rPr>
          <w:rFonts w:ascii="宋体" w:hAnsi="宋体" w:cs="宋体"/>
          <w:b/>
          <w:bCs/>
          <w:szCs w:val="21"/>
        </w:rPr>
      </w:pPr>
      <w:bookmarkStart w:id="0" w:name="_Toc5639"/>
      <w:r>
        <w:rPr>
          <w:rFonts w:hAnsi="宋体" w:cs="宋体" w:hint="eastAsia"/>
          <w:b/>
          <w:bCs/>
          <w:kern w:val="44"/>
          <w:sz w:val="32"/>
          <w:szCs w:val="32"/>
          <w:lang w:val="zh-CN"/>
        </w:rPr>
        <w:t>用户需求书</w:t>
      </w:r>
    </w:p>
    <w:p w:rsidR="005D026D" w:rsidRDefault="005D026D" w:rsidP="005D026D">
      <w:pPr>
        <w:autoSpaceDE w:val="0"/>
        <w:autoSpaceDN w:val="0"/>
        <w:spacing w:line="360" w:lineRule="auto"/>
        <w:jc w:val="center"/>
        <w:outlineLvl w:val="2"/>
        <w:rPr>
          <w:rFonts w:ascii="宋体" w:hAnsi="宋体" w:cs="宋体" w:hint="eastAsia"/>
          <w:b/>
          <w:bCs/>
          <w:szCs w:val="21"/>
        </w:rPr>
      </w:pPr>
      <w:r>
        <w:rPr>
          <w:rFonts w:ascii="宋体" w:hAnsi="宋体" w:cs="宋体" w:hint="eastAsia"/>
          <w:b/>
          <w:bCs/>
          <w:szCs w:val="21"/>
        </w:rPr>
        <w:t>包组2：广东省泰雷兹移动监测站设施维保项目</w:t>
      </w:r>
      <w:bookmarkStart w:id="1" w:name="_GoBack"/>
      <w:bookmarkEnd w:id="0"/>
      <w:bookmarkEnd w:id="1"/>
    </w:p>
    <w:p w:rsidR="005D026D" w:rsidRPr="005D026D" w:rsidRDefault="005D026D" w:rsidP="005D026D">
      <w:pPr>
        <w:autoSpaceDE w:val="0"/>
        <w:autoSpaceDN w:val="0"/>
        <w:spacing w:line="360" w:lineRule="auto"/>
        <w:jc w:val="center"/>
        <w:outlineLvl w:val="2"/>
        <w:rPr>
          <w:rFonts w:ascii="宋体" w:hAnsi="宋体" w:cs="宋体" w:hint="eastAsia"/>
          <w:b/>
          <w:bCs/>
          <w:szCs w:val="21"/>
        </w:rPr>
      </w:pP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bookmarkStart w:id="2" w:name="_Toc488304691"/>
      <w:bookmarkStart w:id="3" w:name="_Toc488413355"/>
      <w:r>
        <w:rPr>
          <w:rFonts w:ascii="宋体" w:hAnsi="宋体" w:cs="宋体" w:hint="eastAsia"/>
          <w:b/>
          <w:szCs w:val="21"/>
        </w:rPr>
        <w:t>概述</w:t>
      </w:r>
      <w:bookmarkEnd w:id="2"/>
      <w:bookmarkEnd w:id="3"/>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针对广东省21套法国ESMERALDA XE移动监测站，采购维保服务，通过定期巡检等方式，保持系统的良好状态，确保采购</w:t>
      </w:r>
      <w:proofErr w:type="gramStart"/>
      <w:r>
        <w:rPr>
          <w:rFonts w:ascii="宋体" w:hAnsi="宋体" w:cs="宋体" w:hint="eastAsia"/>
          <w:szCs w:val="21"/>
        </w:rPr>
        <w:t>人设备</w:t>
      </w:r>
      <w:proofErr w:type="gramEnd"/>
      <w:r>
        <w:rPr>
          <w:rFonts w:ascii="宋体" w:hAnsi="宋体" w:cs="宋体" w:hint="eastAsia"/>
          <w:szCs w:val="21"/>
        </w:rPr>
        <w:t>的正常运行使用。当发现系统存在故障时，及时对反映的问题进行定位、分析和处理，采取设备返厂维修或派遣维护工程师前往采购人现场维修等方式进行及时处理，确保系统能在发现问题后迅速恢复正常运行。</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bookmarkStart w:id="4" w:name="_Toc464824353"/>
      <w:bookmarkStart w:id="5" w:name="_Toc464209519"/>
      <w:bookmarkStart w:id="6" w:name="_Toc464051304"/>
      <w:bookmarkStart w:id="7" w:name="_Toc488413357"/>
      <w:bookmarkStart w:id="8" w:name="_Toc488304693"/>
      <w:bookmarkStart w:id="9" w:name="_Toc464826551"/>
      <w:r>
        <w:rPr>
          <w:rFonts w:ascii="宋体" w:hAnsi="宋体" w:cs="宋体" w:hint="eastAsia"/>
          <w:b/>
          <w:szCs w:val="21"/>
        </w:rPr>
        <w:t>维保内容</w:t>
      </w:r>
      <w:bookmarkEnd w:id="4"/>
      <w:bookmarkEnd w:id="5"/>
      <w:bookmarkEnd w:id="6"/>
      <w:bookmarkEnd w:id="7"/>
      <w:bookmarkEnd w:id="8"/>
      <w:bookmarkEnd w:id="9"/>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（1）定期巡检</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对每个监测站每年进行2 次现场技术巡检和一次集中巡检，安全检查，卫生清理，巡检实施时间由中标人与采购人商定，派遣技术熟练的专业技术人员，到达采购</w:t>
      </w:r>
      <w:proofErr w:type="gramStart"/>
      <w:r>
        <w:rPr>
          <w:rFonts w:ascii="宋体" w:hAnsi="宋体" w:cs="宋体" w:hint="eastAsia"/>
          <w:szCs w:val="21"/>
        </w:rPr>
        <w:t>人设备</w:t>
      </w:r>
      <w:proofErr w:type="gramEnd"/>
      <w:r>
        <w:rPr>
          <w:rFonts w:ascii="宋体" w:hAnsi="宋体" w:cs="宋体" w:hint="eastAsia"/>
          <w:szCs w:val="21"/>
        </w:rPr>
        <w:t>现场，对监测网内设备进行全面的巡回检查维护、保养，通过定期巡检，确保采购</w:t>
      </w:r>
      <w:proofErr w:type="gramStart"/>
      <w:r>
        <w:rPr>
          <w:rFonts w:ascii="宋体" w:hAnsi="宋体" w:cs="宋体" w:hint="eastAsia"/>
          <w:szCs w:val="21"/>
        </w:rPr>
        <w:t>人设备</w:t>
      </w:r>
      <w:proofErr w:type="gramEnd"/>
      <w:r>
        <w:rPr>
          <w:rFonts w:ascii="宋体" w:hAnsi="宋体" w:cs="宋体" w:hint="eastAsia"/>
          <w:szCs w:val="21"/>
        </w:rPr>
        <w:t>的正常运行使用。</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（2）故障修复</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采购人使用过程中发现监测网内设备出现影响系统无法正常使用的故障或功能错误，中标人及时对反映的问题进行定位、分析和处理，如自身不能处理及时反馈公司寻求技术支持，采取设备返厂维修或派遣维护工程师前往采购人现场维修等方式进行及时处理。</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（3）备品备件</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在巡检时发现告警、设备故障，或接到采购人的通知，经处理确定为需更换配件时，应</w:t>
      </w:r>
      <w:r>
        <w:rPr>
          <w:rFonts w:ascii="宋体" w:hAnsi="宋体" w:cs="宋体" w:hint="eastAsia"/>
          <w:szCs w:val="21"/>
          <w:lang w:val="zh-CN"/>
        </w:rPr>
        <w:t>及时将损坏设备的备用</w:t>
      </w:r>
      <w:proofErr w:type="gramStart"/>
      <w:r>
        <w:rPr>
          <w:rFonts w:ascii="宋体" w:hAnsi="宋体" w:cs="宋体" w:hint="eastAsia"/>
          <w:szCs w:val="21"/>
          <w:lang w:val="zh-CN"/>
        </w:rPr>
        <w:t>件提供</w:t>
      </w:r>
      <w:proofErr w:type="gramEnd"/>
      <w:r>
        <w:rPr>
          <w:rFonts w:ascii="宋体" w:hAnsi="宋体" w:cs="宋体" w:hint="eastAsia"/>
          <w:szCs w:val="21"/>
          <w:lang w:val="zh-CN"/>
        </w:rPr>
        <w:t>给采购人，待故障设备修好后，再将替换设备换回。</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（4）重大活动保障</w:t>
      </w:r>
    </w:p>
    <w:p w:rsidR="005D026D" w:rsidRDefault="005D026D" w:rsidP="005D026D">
      <w:pPr>
        <w:widowControl/>
        <w:tabs>
          <w:tab w:val="left" w:pos="424"/>
        </w:tabs>
        <w:spacing w:line="360" w:lineRule="auto"/>
        <w:ind w:firstLineChars="200" w:firstLine="420"/>
        <w:jc w:val="left"/>
        <w:rPr>
          <w:rFonts w:ascii="宋体" w:hAnsi="宋体" w:cs="宋体" w:hint="eastAsia"/>
          <w:szCs w:val="21"/>
          <w:lang w:val="zh-CN"/>
        </w:rPr>
      </w:pPr>
      <w:r>
        <w:rPr>
          <w:rFonts w:ascii="宋体" w:hAnsi="宋体" w:cs="宋体" w:hint="eastAsia"/>
          <w:szCs w:val="21"/>
        </w:rPr>
        <w:t>采购人执行重大无线电安全保障活动，需要调用维保范围内的设备时，中标人根据采购人要求提供每年不超过 10 次，每次不超过 3 名工程师的现场伴随保障服务。</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（5）建立维护保养档案</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给每个移动监测站点建立维护保养维修档案，全生命周期跟踪每个站点的运行、维护和维修情况。中标人建立、管理和填写该档案，各移动站业主单位核实确认档案内容，采购人可以查看、增加内容、统计和调出打印。</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（6）试点改造电源系统</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lastRenderedPageBreak/>
        <w:t>针对原车载电源系统对监测设备性能造成的影响，试点改造东莞和茂名的车载电源系统，使监测设备更好发挥性能及延长设备使用寿命。</w:t>
      </w:r>
    </w:p>
    <w:p w:rsidR="005D026D" w:rsidRDefault="005D026D" w:rsidP="005D026D">
      <w:pPr>
        <w:widowControl/>
        <w:tabs>
          <w:tab w:val="left" w:pos="424"/>
        </w:tabs>
        <w:spacing w:line="360" w:lineRule="auto"/>
        <w:ind w:firstLineChars="200" w:firstLine="422"/>
        <w:jc w:val="left"/>
        <w:rPr>
          <w:rFonts w:ascii="宋体" w:hAnsi="宋体" w:cs="宋体" w:hint="eastAsia"/>
          <w:b/>
          <w:szCs w:val="21"/>
        </w:rPr>
      </w:pPr>
      <w:r>
        <w:rPr>
          <w:rFonts w:ascii="宋体" w:hAnsi="宋体" w:cs="宋体" w:hint="eastAsia"/>
          <w:b/>
          <w:szCs w:val="21"/>
        </w:rPr>
        <w:t>（7）建设无线网络接入环境</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建设无线网络接入环境供采购人使用，使维保范围内全部移动监测站点接入广东省监测网。提供必需的网络设施环境及4G流量卡（一年期），具体见下表：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19"/>
        <w:gridCol w:w="1330"/>
        <w:gridCol w:w="850"/>
        <w:gridCol w:w="4619"/>
      </w:tblGrid>
      <w:tr w:rsidR="005D026D" w:rsidTr="008571DC">
        <w:trPr>
          <w:trHeight w:val="534"/>
          <w:jc w:val="center"/>
        </w:trPr>
        <w:tc>
          <w:tcPr>
            <w:tcW w:w="2549" w:type="dxa"/>
            <w:gridSpan w:val="2"/>
            <w:vAlign w:val="center"/>
          </w:tcPr>
          <w:p w:rsidR="005D026D" w:rsidRDefault="005D026D" w:rsidP="008571DC">
            <w:pPr>
              <w:spacing w:line="360" w:lineRule="auto"/>
              <w:jc w:val="center"/>
              <w:rPr>
                <w:rFonts w:ascii="宋体" w:hAnsi="宋体" w:cs="宋体" w:hint="eastAsia"/>
                <w:b/>
                <w:szCs w:val="21"/>
              </w:rPr>
            </w:pPr>
            <w:r>
              <w:rPr>
                <w:rFonts w:ascii="宋体" w:hAnsi="宋体" w:cs="宋体" w:hint="eastAsia"/>
                <w:b/>
                <w:szCs w:val="21"/>
              </w:rPr>
              <w:t>内容</w:t>
            </w:r>
          </w:p>
        </w:tc>
        <w:tc>
          <w:tcPr>
            <w:tcW w:w="850"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数量</w:t>
            </w:r>
          </w:p>
        </w:tc>
        <w:tc>
          <w:tcPr>
            <w:tcW w:w="4619"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备注</w:t>
            </w:r>
          </w:p>
        </w:tc>
      </w:tr>
      <w:tr w:rsidR="005D026D" w:rsidTr="008571DC">
        <w:trPr>
          <w:trHeight w:val="397"/>
          <w:jc w:val="center"/>
        </w:trPr>
        <w:tc>
          <w:tcPr>
            <w:tcW w:w="1219" w:type="dxa"/>
            <w:vMerge w:val="restart"/>
            <w:vAlign w:val="center"/>
          </w:tcPr>
          <w:p w:rsidR="005D026D" w:rsidRDefault="005D026D" w:rsidP="008571DC">
            <w:pPr>
              <w:spacing w:line="360" w:lineRule="auto"/>
              <w:jc w:val="center"/>
              <w:rPr>
                <w:rFonts w:ascii="宋体" w:hAnsi="宋体" w:cs="宋体" w:hint="eastAsia"/>
                <w:b/>
                <w:szCs w:val="21"/>
              </w:rPr>
            </w:pPr>
            <w:r>
              <w:rPr>
                <w:rFonts w:ascii="宋体" w:hAnsi="宋体" w:cs="宋体" w:hint="eastAsia"/>
                <w:b/>
                <w:kern w:val="0"/>
                <w:szCs w:val="21"/>
                <w:lang w:bidi="ar"/>
              </w:rPr>
              <w:t>网络设备</w:t>
            </w:r>
          </w:p>
        </w:tc>
        <w:tc>
          <w:tcPr>
            <w:tcW w:w="1330"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路由器</w:t>
            </w:r>
          </w:p>
        </w:tc>
        <w:tc>
          <w:tcPr>
            <w:tcW w:w="850" w:type="dxa"/>
            <w:vAlign w:val="center"/>
          </w:tcPr>
          <w:p w:rsidR="005D026D" w:rsidRDefault="005D026D" w:rsidP="008571DC">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p>
        </w:tc>
        <w:tc>
          <w:tcPr>
            <w:tcW w:w="4619" w:type="dxa"/>
            <w:vAlign w:val="center"/>
          </w:tcPr>
          <w:p w:rsidR="005D026D" w:rsidRDefault="005D026D" w:rsidP="008571DC">
            <w:pPr>
              <w:widowControl/>
              <w:spacing w:line="360" w:lineRule="auto"/>
              <w:jc w:val="left"/>
              <w:textAlignment w:val="center"/>
              <w:rPr>
                <w:rFonts w:ascii="宋体" w:hAnsi="宋体" w:cs="宋体" w:hint="eastAsia"/>
                <w:szCs w:val="21"/>
              </w:rPr>
            </w:pPr>
            <w:r>
              <w:rPr>
                <w:rFonts w:ascii="宋体" w:hAnsi="宋体" w:cs="宋体" w:hint="eastAsia"/>
                <w:kern w:val="0"/>
                <w:szCs w:val="21"/>
                <w:lang w:bidi="ar"/>
              </w:rPr>
              <w:t>部署在省无线电监测中心</w:t>
            </w:r>
          </w:p>
        </w:tc>
      </w:tr>
      <w:tr w:rsidR="005D026D" w:rsidTr="008571DC">
        <w:trPr>
          <w:trHeight w:val="397"/>
          <w:jc w:val="center"/>
        </w:trPr>
        <w:tc>
          <w:tcPr>
            <w:tcW w:w="1219" w:type="dxa"/>
            <w:vMerge/>
            <w:vAlign w:val="center"/>
          </w:tcPr>
          <w:p w:rsidR="005D026D" w:rsidRDefault="005D026D" w:rsidP="008571DC">
            <w:pPr>
              <w:spacing w:line="360" w:lineRule="auto"/>
              <w:jc w:val="center"/>
              <w:rPr>
                <w:rFonts w:ascii="宋体" w:hAnsi="宋体" w:cs="宋体" w:hint="eastAsia"/>
                <w:b/>
                <w:szCs w:val="21"/>
              </w:rPr>
            </w:pPr>
          </w:p>
        </w:tc>
        <w:tc>
          <w:tcPr>
            <w:tcW w:w="1330"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SIM卡</w:t>
            </w:r>
            <w:proofErr w:type="gramStart"/>
            <w:r>
              <w:rPr>
                <w:rFonts w:ascii="宋体" w:hAnsi="宋体" w:cs="宋体" w:hint="eastAsia"/>
                <w:b/>
                <w:kern w:val="0"/>
                <w:szCs w:val="21"/>
                <w:lang w:bidi="ar"/>
              </w:rPr>
              <w:t>卡</w:t>
            </w:r>
            <w:proofErr w:type="gramEnd"/>
            <w:r>
              <w:rPr>
                <w:rFonts w:ascii="宋体" w:hAnsi="宋体" w:cs="宋体" w:hint="eastAsia"/>
                <w:b/>
                <w:kern w:val="0"/>
                <w:szCs w:val="21"/>
                <w:lang w:bidi="ar"/>
              </w:rPr>
              <w:t>托</w:t>
            </w:r>
          </w:p>
        </w:tc>
        <w:tc>
          <w:tcPr>
            <w:tcW w:w="850" w:type="dxa"/>
            <w:vAlign w:val="center"/>
          </w:tcPr>
          <w:p w:rsidR="005D026D" w:rsidRDefault="005D026D" w:rsidP="008571DC">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23</w:t>
            </w:r>
          </w:p>
        </w:tc>
        <w:tc>
          <w:tcPr>
            <w:tcW w:w="4619" w:type="dxa"/>
            <w:vAlign w:val="center"/>
          </w:tcPr>
          <w:p w:rsidR="005D026D" w:rsidRDefault="005D026D" w:rsidP="008571DC">
            <w:pPr>
              <w:widowControl/>
              <w:spacing w:line="360" w:lineRule="auto"/>
              <w:jc w:val="left"/>
              <w:textAlignment w:val="center"/>
              <w:rPr>
                <w:rFonts w:ascii="宋体" w:hAnsi="宋体" w:cs="宋体" w:hint="eastAsia"/>
                <w:szCs w:val="21"/>
              </w:rPr>
            </w:pPr>
            <w:r>
              <w:rPr>
                <w:rFonts w:ascii="宋体" w:hAnsi="宋体" w:cs="宋体" w:hint="eastAsia"/>
                <w:kern w:val="0"/>
                <w:szCs w:val="21"/>
                <w:lang w:bidi="ar"/>
              </w:rPr>
              <w:t>21个部署在22台XE监测车,2个部署在省无线电管理指挥中心</w:t>
            </w:r>
          </w:p>
        </w:tc>
      </w:tr>
      <w:tr w:rsidR="005D026D" w:rsidTr="008571DC">
        <w:trPr>
          <w:trHeight w:val="397"/>
          <w:jc w:val="center"/>
        </w:trPr>
        <w:tc>
          <w:tcPr>
            <w:tcW w:w="1219" w:type="dxa"/>
            <w:vMerge w:val="restart"/>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流量</w:t>
            </w:r>
          </w:p>
        </w:tc>
        <w:tc>
          <w:tcPr>
            <w:tcW w:w="1330"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APN专线</w:t>
            </w:r>
          </w:p>
        </w:tc>
        <w:tc>
          <w:tcPr>
            <w:tcW w:w="850" w:type="dxa"/>
            <w:vAlign w:val="center"/>
          </w:tcPr>
          <w:p w:rsidR="005D026D" w:rsidRDefault="005D026D" w:rsidP="008571DC">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1</w:t>
            </w:r>
          </w:p>
        </w:tc>
        <w:tc>
          <w:tcPr>
            <w:tcW w:w="4619" w:type="dxa"/>
            <w:vAlign w:val="center"/>
          </w:tcPr>
          <w:p w:rsidR="005D026D" w:rsidRDefault="005D026D" w:rsidP="008571DC">
            <w:pPr>
              <w:widowControl/>
              <w:spacing w:line="360" w:lineRule="auto"/>
              <w:jc w:val="left"/>
              <w:textAlignment w:val="center"/>
              <w:rPr>
                <w:rFonts w:ascii="宋体" w:hAnsi="宋体" w:cs="宋体" w:hint="eastAsia"/>
                <w:szCs w:val="21"/>
              </w:rPr>
            </w:pPr>
            <w:r>
              <w:rPr>
                <w:rFonts w:ascii="宋体" w:hAnsi="宋体" w:cs="宋体" w:hint="eastAsia"/>
                <w:kern w:val="0"/>
                <w:szCs w:val="21"/>
                <w:lang w:bidi="ar"/>
              </w:rPr>
              <w:t>10M或以上带宽</w:t>
            </w:r>
          </w:p>
        </w:tc>
      </w:tr>
      <w:tr w:rsidR="005D026D" w:rsidTr="008571DC">
        <w:trPr>
          <w:trHeight w:val="397"/>
          <w:jc w:val="center"/>
        </w:trPr>
        <w:tc>
          <w:tcPr>
            <w:tcW w:w="1219" w:type="dxa"/>
            <w:vMerge/>
            <w:vAlign w:val="center"/>
          </w:tcPr>
          <w:p w:rsidR="005D026D" w:rsidRDefault="005D026D" w:rsidP="008571DC">
            <w:pPr>
              <w:spacing w:line="360" w:lineRule="auto"/>
              <w:jc w:val="center"/>
              <w:rPr>
                <w:rFonts w:ascii="宋体" w:hAnsi="宋体" w:cs="宋体" w:hint="eastAsia"/>
                <w:b/>
                <w:szCs w:val="21"/>
              </w:rPr>
            </w:pPr>
          </w:p>
        </w:tc>
        <w:tc>
          <w:tcPr>
            <w:tcW w:w="1330" w:type="dxa"/>
            <w:vAlign w:val="center"/>
          </w:tcPr>
          <w:p w:rsidR="005D026D" w:rsidRDefault="005D026D" w:rsidP="008571DC">
            <w:pPr>
              <w:widowControl/>
              <w:spacing w:line="360" w:lineRule="auto"/>
              <w:jc w:val="center"/>
              <w:textAlignment w:val="center"/>
              <w:rPr>
                <w:rFonts w:ascii="宋体" w:hAnsi="宋体" w:cs="宋体" w:hint="eastAsia"/>
                <w:b/>
                <w:szCs w:val="21"/>
              </w:rPr>
            </w:pPr>
            <w:r>
              <w:rPr>
                <w:rFonts w:ascii="宋体" w:hAnsi="宋体" w:cs="宋体" w:hint="eastAsia"/>
                <w:b/>
                <w:kern w:val="0"/>
                <w:szCs w:val="21"/>
                <w:lang w:bidi="ar"/>
              </w:rPr>
              <w:t>SIM卡</w:t>
            </w:r>
          </w:p>
        </w:tc>
        <w:tc>
          <w:tcPr>
            <w:tcW w:w="850" w:type="dxa"/>
            <w:vAlign w:val="center"/>
          </w:tcPr>
          <w:p w:rsidR="005D026D" w:rsidRDefault="005D026D" w:rsidP="008571DC">
            <w:pPr>
              <w:widowControl/>
              <w:spacing w:line="360" w:lineRule="auto"/>
              <w:jc w:val="center"/>
              <w:textAlignment w:val="center"/>
              <w:rPr>
                <w:rFonts w:ascii="宋体" w:hAnsi="宋体" w:cs="宋体" w:hint="eastAsia"/>
                <w:szCs w:val="21"/>
              </w:rPr>
            </w:pPr>
            <w:r>
              <w:rPr>
                <w:rFonts w:ascii="宋体" w:hAnsi="宋体" w:cs="宋体" w:hint="eastAsia"/>
                <w:kern w:val="0"/>
                <w:szCs w:val="21"/>
                <w:lang w:bidi="ar"/>
              </w:rPr>
              <w:t>23</w:t>
            </w:r>
          </w:p>
        </w:tc>
        <w:tc>
          <w:tcPr>
            <w:tcW w:w="4619" w:type="dxa"/>
            <w:vAlign w:val="center"/>
          </w:tcPr>
          <w:p w:rsidR="005D026D" w:rsidRDefault="005D026D" w:rsidP="008571DC">
            <w:pPr>
              <w:widowControl/>
              <w:spacing w:line="360" w:lineRule="auto"/>
              <w:jc w:val="left"/>
              <w:textAlignment w:val="center"/>
              <w:rPr>
                <w:rFonts w:ascii="宋体" w:hAnsi="宋体" w:cs="宋体" w:hint="eastAsia"/>
                <w:szCs w:val="21"/>
              </w:rPr>
            </w:pPr>
            <w:r>
              <w:rPr>
                <w:rFonts w:ascii="宋体" w:hAnsi="宋体" w:cs="宋体" w:hint="eastAsia"/>
                <w:kern w:val="0"/>
                <w:szCs w:val="21"/>
                <w:lang w:bidi="ar"/>
              </w:rPr>
              <w:t>每月2G流量或以上</w:t>
            </w:r>
          </w:p>
        </w:tc>
      </w:tr>
    </w:tbl>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bookmarkStart w:id="10" w:name="流程"/>
      <w:bookmarkStart w:id="11" w:name="_Toc464051305"/>
      <w:bookmarkStart w:id="12" w:name="_Toc488304694"/>
      <w:bookmarkStart w:id="13" w:name="_Toc464824354"/>
      <w:bookmarkStart w:id="14" w:name="_Toc464826552"/>
      <w:bookmarkStart w:id="15" w:name="_Toc488413358"/>
      <w:bookmarkStart w:id="16" w:name="_Toc464209520"/>
      <w:bookmarkEnd w:id="10"/>
      <w:r>
        <w:rPr>
          <w:rFonts w:ascii="宋体" w:hAnsi="宋体" w:cs="宋体" w:hint="eastAsia"/>
          <w:b/>
          <w:szCs w:val="21"/>
        </w:rPr>
        <w:t>服务期限</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维保工作服</w:t>
      </w:r>
      <w:proofErr w:type="gramStart"/>
      <w:r>
        <w:rPr>
          <w:rFonts w:ascii="宋体" w:hAnsi="宋体" w:cs="宋体" w:hint="eastAsia"/>
          <w:szCs w:val="21"/>
        </w:rPr>
        <w:t>务</w:t>
      </w:r>
      <w:proofErr w:type="gramEnd"/>
      <w:r>
        <w:rPr>
          <w:rFonts w:ascii="宋体" w:hAnsi="宋体" w:cs="宋体" w:hint="eastAsia"/>
          <w:szCs w:val="21"/>
        </w:rPr>
        <w:t>期限：2022年1月1日至2022年12月31日。</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项目预算</w:t>
      </w:r>
    </w:p>
    <w:p w:rsidR="005D026D" w:rsidRDefault="005D026D" w:rsidP="005D026D">
      <w:pPr>
        <w:widowControl/>
        <w:tabs>
          <w:tab w:val="left" w:pos="424"/>
        </w:tabs>
        <w:spacing w:line="360" w:lineRule="auto"/>
        <w:ind w:firstLineChars="200" w:firstLine="420"/>
        <w:jc w:val="left"/>
        <w:rPr>
          <w:rFonts w:ascii="宋体" w:hAnsi="宋体" w:cs="宋体" w:hint="eastAsia"/>
          <w:bCs/>
          <w:szCs w:val="21"/>
        </w:rPr>
      </w:pPr>
      <w:r>
        <w:rPr>
          <w:rFonts w:ascii="宋体" w:hAnsi="宋体" w:cs="宋体" w:hint="eastAsia"/>
          <w:bCs/>
          <w:szCs w:val="21"/>
        </w:rPr>
        <w:t>人民币180万元。</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付款方式</w:t>
      </w:r>
      <w:r>
        <w:rPr>
          <w:rFonts w:ascii="宋体" w:hAnsi="宋体" w:cs="宋体" w:hint="eastAsia"/>
          <w:szCs w:val="21"/>
        </w:rPr>
        <w:t>（贷记凭证、银行</w:t>
      </w:r>
      <w:proofErr w:type="gramStart"/>
      <w:r>
        <w:rPr>
          <w:rFonts w:ascii="宋体" w:hAnsi="宋体" w:cs="宋体" w:hint="eastAsia"/>
          <w:szCs w:val="21"/>
        </w:rPr>
        <w:t>转帐</w:t>
      </w:r>
      <w:proofErr w:type="gramEnd"/>
      <w:r>
        <w:rPr>
          <w:rFonts w:ascii="宋体" w:hAnsi="宋体" w:cs="宋体" w:hint="eastAsia"/>
          <w:szCs w:val="21"/>
        </w:rPr>
        <w:t>）</w:t>
      </w:r>
    </w:p>
    <w:p w:rsidR="005D026D" w:rsidRDefault="005D026D" w:rsidP="005D026D">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本合同的支付币种为人民币。</w:t>
      </w:r>
    </w:p>
    <w:p w:rsidR="005D026D" w:rsidRDefault="005D026D" w:rsidP="005D026D">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采购人按如下条款履行支付：</w:t>
      </w:r>
    </w:p>
    <w:p w:rsidR="005D026D" w:rsidRDefault="005D026D" w:rsidP="005D026D">
      <w:pPr>
        <w:widowControl/>
        <w:numPr>
          <w:ilvl w:val="0"/>
          <w:numId w:val="3"/>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本项目采用三次付款方式：</w:t>
      </w:r>
    </w:p>
    <w:p w:rsidR="005D026D" w:rsidRDefault="005D026D" w:rsidP="005D026D">
      <w:pPr>
        <w:widowControl/>
        <w:tabs>
          <w:tab w:val="left" w:pos="424"/>
        </w:tabs>
        <w:spacing w:line="360" w:lineRule="auto"/>
        <w:ind w:firstLineChars="250" w:firstLine="525"/>
        <w:jc w:val="left"/>
        <w:rPr>
          <w:rFonts w:ascii="宋体" w:hAnsi="宋体" w:cs="宋体" w:hint="eastAsia"/>
          <w:szCs w:val="21"/>
        </w:rPr>
      </w:pPr>
      <w:r>
        <w:rPr>
          <w:rFonts w:ascii="宋体" w:hAnsi="宋体" w:cs="宋体" w:hint="eastAsia"/>
          <w:szCs w:val="21"/>
        </w:rPr>
        <w:t>①维保工作开始后10个工作日内，采购人办理合同总额40%的款项支付手续（第一次付款）。</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 xml:space="preserve"> ②维保工作实施满6个月，中标人提交“维保工作半年总结报告”后，采购人在10个工作日内办理合同总额30%的款项支付手续（第二次付款）。</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 xml:space="preserve"> ③中标人完成全部维保服务且提交盖有公章的“维保工作总结报告”，采购人审核确认已完成全部维保服务，项目通过验收后10个工作日内，办理合同总额30%的款项支付手续（第三次付款）。</w:t>
      </w:r>
    </w:p>
    <w:p w:rsidR="005D026D" w:rsidRDefault="005D026D" w:rsidP="005D026D">
      <w:pPr>
        <w:widowControl/>
        <w:numPr>
          <w:ilvl w:val="0"/>
          <w:numId w:val="3"/>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具体付款程序：</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①采购人与同中标人签订合同并收到中标人提交的如下单据后的15个工作日内，向财政部门申请支付相当于合同总额100%的款项给中标人。中标人须提交以下资料：</w:t>
      </w:r>
    </w:p>
    <w:p w:rsidR="005D026D" w:rsidRDefault="005D026D" w:rsidP="005D026D">
      <w:pPr>
        <w:widowControl/>
        <w:numPr>
          <w:ilvl w:val="0"/>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lastRenderedPageBreak/>
        <w:t>抬头为采购人的相当于合同总额100%的正本普通商业发票；</w:t>
      </w:r>
    </w:p>
    <w:p w:rsidR="005D026D" w:rsidRDefault="005D026D" w:rsidP="005D026D">
      <w:pPr>
        <w:widowControl/>
        <w:numPr>
          <w:ilvl w:val="0"/>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银行保函1（无条件承兑保函）：金额为合同总额的40%，期限为2022年1月31日；</w:t>
      </w:r>
    </w:p>
    <w:p w:rsidR="005D026D" w:rsidRDefault="005D026D" w:rsidP="005D026D">
      <w:pPr>
        <w:widowControl/>
        <w:numPr>
          <w:ilvl w:val="0"/>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银行保函2（无条件承兑保函）：金额为合同总额的30%，期限为2022年8月31日；</w:t>
      </w:r>
    </w:p>
    <w:p w:rsidR="005D026D" w:rsidRDefault="005D026D" w:rsidP="005D026D">
      <w:pPr>
        <w:widowControl/>
        <w:numPr>
          <w:ilvl w:val="0"/>
          <w:numId w:val="4"/>
        </w:numPr>
        <w:tabs>
          <w:tab w:val="left" w:pos="424"/>
        </w:tabs>
        <w:spacing w:line="360" w:lineRule="auto"/>
        <w:ind w:left="0" w:firstLineChars="400" w:firstLine="840"/>
        <w:jc w:val="left"/>
        <w:rPr>
          <w:rFonts w:ascii="宋体" w:hAnsi="宋体" w:cs="宋体" w:hint="eastAsia"/>
          <w:szCs w:val="21"/>
        </w:rPr>
      </w:pPr>
      <w:r>
        <w:rPr>
          <w:rFonts w:ascii="宋体" w:hAnsi="宋体" w:cs="宋体" w:hint="eastAsia"/>
          <w:szCs w:val="21"/>
        </w:rPr>
        <w:t>银行保函3（无条件承兑保函）：金额为合同总额的30%，期限为2023年4月30日。</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②满足第一次付款条件时解除银行保函1。</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③满足第二次付款条件时解除银行保函2。</w:t>
      </w:r>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szCs w:val="21"/>
        </w:rPr>
        <w:t>④满足第三次付款条件时解除银行保函3。</w:t>
      </w:r>
    </w:p>
    <w:p w:rsidR="005D026D" w:rsidRDefault="005D026D" w:rsidP="005D026D">
      <w:pPr>
        <w:widowControl/>
        <w:numPr>
          <w:ilvl w:val="6"/>
          <w:numId w:val="2"/>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验收方式</w:t>
      </w:r>
    </w:p>
    <w:p w:rsidR="005D026D" w:rsidRDefault="005D026D" w:rsidP="005D026D">
      <w:pPr>
        <w:widowControl/>
        <w:numPr>
          <w:ilvl w:val="6"/>
          <w:numId w:val="5"/>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维保工作实施满6个月，中标人提交“维保工作半年总结报告”。</w:t>
      </w:r>
    </w:p>
    <w:p w:rsidR="005D026D" w:rsidRDefault="005D026D" w:rsidP="005D026D">
      <w:pPr>
        <w:widowControl/>
        <w:numPr>
          <w:ilvl w:val="6"/>
          <w:numId w:val="5"/>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中标人完成全部维保服务后提交盖有公章的“维保工作总结报告”，采购人审核确认按合同及招标文件完成全部维保服务后组织专家验收，中标人应做好验收配合工作。</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技术要求</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 xml:space="preserve">响应时间：在接到采购人故障通知后，中标人在2小时以内由客户服务人员通过电话或互联网或远程故障诊断系统指导采购人解决故障。如设备故障需要维修，给出维修方案的响应时间：每天8：00～18：00期间为6小时内，其余期间为15小时内；一般不需要更换主要配件的设备故障维修时间不得超过 5 天，需要国内异地公司提供配件的设备故障维修时间不得超过 30天，需要国外公司提供配件的设备故障维修不得超过 3 </w:t>
      </w:r>
      <w:proofErr w:type="gramStart"/>
      <w:r>
        <w:rPr>
          <w:rFonts w:ascii="宋体" w:hAnsi="宋体" w:cs="宋体" w:hint="eastAsia"/>
          <w:szCs w:val="21"/>
        </w:rPr>
        <w:t>个</w:t>
      </w:r>
      <w:proofErr w:type="gramEnd"/>
      <w:r>
        <w:rPr>
          <w:rFonts w:ascii="宋体" w:hAnsi="宋体" w:cs="宋体" w:hint="eastAsia"/>
          <w:szCs w:val="21"/>
        </w:rPr>
        <w:t>月。</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系统巡检：要求每年两次，对巡检发现老化部件要更换，定期提交巡检报告，注明更换部件情况。</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系统设备维修：设备维修后需提供维修报告和设备校准报告，并明确保质期。</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系统测试及校准：要求每年1次，提交校准报告。</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lastRenderedPageBreak/>
        <w:t>在巡检、现场维护和监测站日常监测工作中，发现同一设备（工控机、CPU、内存、网络设备等）数次出现故障，需更换新设备。</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改造车载电源系统要求：</w:t>
      </w:r>
    </w:p>
    <w:p w:rsidR="005D026D" w:rsidRDefault="005D026D" w:rsidP="005D026D">
      <w:pPr>
        <w:spacing w:line="360" w:lineRule="auto"/>
        <w:ind w:firstLineChars="200" w:firstLine="420"/>
        <w:rPr>
          <w:rFonts w:ascii="宋体" w:hAnsi="宋体" w:cs="宋体" w:hint="eastAsia"/>
        </w:rPr>
      </w:pPr>
      <w:r>
        <w:rPr>
          <w:rFonts w:ascii="宋体" w:hAnsi="宋体" w:cs="宋体" w:hint="eastAsia"/>
        </w:rPr>
        <w:t>系统应采用三种供电方式：一是外接市电（220V交流）供电；二是汽车发电机供电；三是设备电源单元的蓄电池供电。可根据实际情况由使用人自行选择。</w:t>
      </w:r>
    </w:p>
    <w:p w:rsidR="005D026D" w:rsidRDefault="005D026D" w:rsidP="005D026D">
      <w:pPr>
        <w:spacing w:line="360" w:lineRule="auto"/>
        <w:ind w:firstLineChars="200" w:firstLine="420"/>
        <w:rPr>
          <w:rFonts w:ascii="宋体" w:hAnsi="宋体" w:cs="宋体" w:hint="eastAsia"/>
        </w:rPr>
      </w:pPr>
      <w:r>
        <w:rPr>
          <w:rFonts w:ascii="宋体" w:hAnsi="宋体" w:cs="宋体" w:hint="eastAsia"/>
        </w:rPr>
        <w:t>▲汽车发电机直接供电：ESMERALDA XE无线电监测测向系统的系统总功耗＜130W，可直接通过汽车发电机直接供电/充电，而不需要另外</w:t>
      </w:r>
      <w:proofErr w:type="gramStart"/>
      <w:r>
        <w:rPr>
          <w:rFonts w:ascii="宋体" w:hAnsi="宋体" w:cs="宋体" w:hint="eastAsia"/>
        </w:rPr>
        <w:t>配置取力发电</w:t>
      </w:r>
      <w:proofErr w:type="gramEnd"/>
      <w:r>
        <w:rPr>
          <w:rFonts w:ascii="宋体" w:hAnsi="宋体" w:cs="宋体" w:hint="eastAsia"/>
        </w:rPr>
        <w:t>供电。系统加装汽车电源隔离器，以保护汽车电瓶不受系统电源的影响。</w:t>
      </w:r>
    </w:p>
    <w:p w:rsidR="005D026D" w:rsidRDefault="005D026D" w:rsidP="005D026D">
      <w:pPr>
        <w:spacing w:line="360" w:lineRule="auto"/>
        <w:ind w:firstLineChars="200" w:firstLine="420"/>
        <w:rPr>
          <w:rFonts w:ascii="宋体" w:hAnsi="宋体" w:cs="宋体" w:hint="eastAsia"/>
        </w:rPr>
      </w:pPr>
      <w:r>
        <w:rPr>
          <w:rFonts w:ascii="宋体" w:hAnsi="宋体" w:cs="宋体" w:hint="eastAsia"/>
        </w:rPr>
        <w:t>▲车载蓄电池供电：车载设备电源单元的蓄电池，选用2块以上24V 25AH磷酸铁锂电池供电，所有系统设备均采用直流供电，以提高系统的电磁兼容性。</w:t>
      </w:r>
    </w:p>
    <w:p w:rsidR="005D026D" w:rsidRDefault="005D026D" w:rsidP="005D026D">
      <w:pPr>
        <w:spacing w:line="360" w:lineRule="auto"/>
        <w:ind w:firstLineChars="200" w:firstLine="420"/>
        <w:rPr>
          <w:rFonts w:ascii="宋体" w:hAnsi="宋体" w:cs="宋体" w:hint="eastAsia"/>
        </w:rPr>
      </w:pPr>
      <w:r>
        <w:rPr>
          <w:rFonts w:ascii="宋体" w:hAnsi="宋体" w:cs="宋体" w:hint="eastAsia"/>
        </w:rPr>
        <w:t>▲在车辆尾部设置AC220V接口，用于外接市电供电，以及车辆外出前给蓄电池充电。</w:t>
      </w:r>
    </w:p>
    <w:p w:rsidR="005D026D" w:rsidRDefault="005D026D" w:rsidP="005D026D">
      <w:pPr>
        <w:spacing w:line="360" w:lineRule="auto"/>
        <w:ind w:firstLineChars="200" w:firstLine="420"/>
        <w:rPr>
          <w:rFonts w:ascii="宋体" w:hAnsi="宋体" w:cs="宋体" w:hint="eastAsia"/>
        </w:rPr>
      </w:pPr>
      <w:r>
        <w:rPr>
          <w:rFonts w:ascii="宋体" w:hAnsi="宋体" w:cs="宋体" w:hint="eastAsia"/>
        </w:rPr>
        <w:t>▲设备柜形式：在后备箱位</w:t>
      </w:r>
      <w:proofErr w:type="gramStart"/>
      <w:r>
        <w:rPr>
          <w:rFonts w:ascii="宋体" w:hAnsi="宋体" w:cs="宋体" w:hint="eastAsia"/>
        </w:rPr>
        <w:t>置制作</w:t>
      </w:r>
      <w:proofErr w:type="gramEnd"/>
      <w:r>
        <w:rPr>
          <w:rFonts w:ascii="宋体" w:hAnsi="宋体" w:cs="宋体" w:hint="eastAsia"/>
        </w:rPr>
        <w:t>设备柜，XE监测测向接收机设备柜内侧壁铺设吸波材料，并对接收机进行减震处理；设备柜内集成加装电池组、充电机和DC-DC电源模块等供电设备。设备柜正面开设维修门，在维修门上加装散热风机和进气百叶窗，用于设备柜内通风散热。设备柜旁加装一个线缆盘和两个灭火器。</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proofErr w:type="gramStart"/>
      <w:r>
        <w:rPr>
          <w:rFonts w:ascii="宋体" w:hAnsi="宋体" w:cs="宋体" w:hint="eastAsia"/>
          <w:szCs w:val="21"/>
        </w:rPr>
        <w:t>站点月正常</w:t>
      </w:r>
      <w:proofErr w:type="gramEnd"/>
      <w:r>
        <w:rPr>
          <w:rFonts w:ascii="宋体" w:hAnsi="宋体" w:cs="宋体" w:hint="eastAsia"/>
          <w:szCs w:val="21"/>
        </w:rPr>
        <w:t>使用率要求保持在90%以上。</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维护内容（主要包括天</w:t>
      </w:r>
      <w:proofErr w:type="gramStart"/>
      <w:r>
        <w:rPr>
          <w:rFonts w:ascii="宋体" w:hAnsi="宋体" w:cs="宋体" w:hint="eastAsia"/>
          <w:szCs w:val="21"/>
        </w:rPr>
        <w:t>馈</w:t>
      </w:r>
      <w:proofErr w:type="gramEnd"/>
      <w:r>
        <w:rPr>
          <w:rFonts w:ascii="宋体" w:hAnsi="宋体" w:cs="宋体" w:hint="eastAsia"/>
          <w:szCs w:val="21"/>
        </w:rPr>
        <w:t>系统、信号接收系统、网络系统、电源系统、软件系统、计算机系统检查、综合检查维护）检查和维护标准按工业和信息化部无线电管理局的《省级无线电监测设施运行维护规定》（国无办〔2020〕4号）执行。</w:t>
      </w:r>
    </w:p>
    <w:p w:rsidR="005D026D" w:rsidRDefault="005D026D" w:rsidP="005D026D">
      <w:pPr>
        <w:widowControl/>
        <w:numPr>
          <w:ilvl w:val="6"/>
          <w:numId w:val="6"/>
        </w:numPr>
        <w:tabs>
          <w:tab w:val="left" w:pos="424"/>
        </w:tabs>
        <w:spacing w:line="360" w:lineRule="auto"/>
        <w:ind w:left="0" w:firstLineChars="200" w:firstLine="420"/>
        <w:jc w:val="left"/>
        <w:rPr>
          <w:rFonts w:ascii="宋体" w:hAnsi="宋体" w:cs="宋体" w:hint="eastAsia"/>
          <w:szCs w:val="21"/>
        </w:rPr>
      </w:pPr>
      <w:r>
        <w:rPr>
          <w:rFonts w:ascii="宋体" w:hAnsi="宋体" w:cs="宋体" w:hint="eastAsia"/>
          <w:szCs w:val="21"/>
        </w:rPr>
        <w:t>在每月的10日前向采购人提交“本月工作计划”和“下月工作计划”。包括本月计划的具体完成情况和下月工作计划，内容应包括巡检、随工、故障/告警处理、整改等工作的完成情况。</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bookmarkStart w:id="17" w:name="_Toc464209521"/>
      <w:bookmarkStart w:id="18" w:name="_Toc464826553"/>
      <w:bookmarkStart w:id="19" w:name="_Toc488304695"/>
      <w:bookmarkStart w:id="20" w:name="_Toc464051306"/>
      <w:bookmarkStart w:id="21" w:name="_Toc488413359"/>
      <w:bookmarkStart w:id="22" w:name="_Toc464824355"/>
      <w:bookmarkEnd w:id="11"/>
      <w:bookmarkEnd w:id="12"/>
      <w:bookmarkEnd w:id="13"/>
      <w:bookmarkEnd w:id="14"/>
      <w:bookmarkEnd w:id="15"/>
      <w:bookmarkEnd w:id="16"/>
      <w:r>
        <w:rPr>
          <w:rFonts w:ascii="宋体" w:hAnsi="宋体" w:cs="宋体" w:hint="eastAsia"/>
          <w:b/>
          <w:szCs w:val="21"/>
        </w:rPr>
        <w:t>服务承诺</w:t>
      </w:r>
      <w:bookmarkEnd w:id="17"/>
      <w:bookmarkEnd w:id="18"/>
      <w:bookmarkEnd w:id="19"/>
      <w:bookmarkEnd w:id="20"/>
      <w:bookmarkEnd w:id="21"/>
      <w:bookmarkEnd w:id="22"/>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所有原装进口的接收机、测向机、监测测向天线及配套设备，中标人都将负责维修，</w:t>
      </w:r>
      <w:r>
        <w:rPr>
          <w:rFonts w:ascii="宋体" w:hAnsi="宋体" w:cs="宋体" w:hint="eastAsia"/>
          <w:szCs w:val="21"/>
        </w:rPr>
        <w:t>费用由中标人负责</w:t>
      </w:r>
      <w:r>
        <w:rPr>
          <w:rFonts w:ascii="宋体" w:hAnsi="宋体" w:cs="宋体" w:hint="eastAsia"/>
          <w:szCs w:val="21"/>
          <w:lang w:val="zh-CN"/>
        </w:rPr>
        <w:t>。</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为采购人邮寄各种部件、配件所产生的一切费用由中标人负责结算。</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每年对采购人集中提供一次监测业务相关的技术培训，并且对工程技术人员进行维修技能方面的专项培训，培训费用包含在投标报价中。</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当设备损坏时，如无法及时</w:t>
      </w:r>
      <w:r>
        <w:rPr>
          <w:rFonts w:ascii="宋体" w:hAnsi="宋体" w:cs="宋体" w:hint="eastAsia"/>
          <w:szCs w:val="21"/>
        </w:rPr>
        <w:t>（2个月以内）</w:t>
      </w:r>
      <w:r>
        <w:rPr>
          <w:rFonts w:ascii="宋体" w:hAnsi="宋体" w:cs="宋体" w:hint="eastAsia"/>
          <w:szCs w:val="21"/>
          <w:lang w:val="zh-CN"/>
        </w:rPr>
        <w:t>修复故障，及时将损坏设备的备用</w:t>
      </w:r>
      <w:proofErr w:type="gramStart"/>
      <w:r>
        <w:rPr>
          <w:rFonts w:ascii="宋体" w:hAnsi="宋体" w:cs="宋体" w:hint="eastAsia"/>
          <w:szCs w:val="21"/>
          <w:lang w:val="zh-CN"/>
        </w:rPr>
        <w:t>件提供</w:t>
      </w:r>
      <w:proofErr w:type="gramEnd"/>
      <w:r>
        <w:rPr>
          <w:rFonts w:ascii="宋体" w:hAnsi="宋体" w:cs="宋体" w:hint="eastAsia"/>
          <w:szCs w:val="21"/>
          <w:lang w:val="zh-CN"/>
        </w:rPr>
        <w:t>给采购人,待故障设备修好后,再将替换设备换回。</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lastRenderedPageBreak/>
        <w:t>到</w:t>
      </w:r>
      <w:r>
        <w:rPr>
          <w:rFonts w:ascii="宋体" w:hAnsi="宋体" w:cs="宋体" w:hint="eastAsia"/>
          <w:szCs w:val="21"/>
        </w:rPr>
        <w:t>采购</w:t>
      </w:r>
      <w:proofErr w:type="gramStart"/>
      <w:r>
        <w:rPr>
          <w:rFonts w:ascii="宋体" w:hAnsi="宋体" w:cs="宋体" w:hint="eastAsia"/>
          <w:szCs w:val="21"/>
        </w:rPr>
        <w:t>人</w:t>
      </w:r>
      <w:r>
        <w:rPr>
          <w:rFonts w:ascii="宋体" w:hAnsi="宋体" w:cs="宋体" w:hint="eastAsia"/>
          <w:szCs w:val="21"/>
          <w:lang w:val="zh-CN"/>
        </w:rPr>
        <w:t>设备</w:t>
      </w:r>
      <w:proofErr w:type="gramEnd"/>
      <w:r>
        <w:rPr>
          <w:rFonts w:ascii="宋体" w:hAnsi="宋体" w:cs="宋体" w:hint="eastAsia"/>
          <w:szCs w:val="21"/>
          <w:lang w:val="zh-CN"/>
        </w:rPr>
        <w:t>现场进行维护维修产生的旅差费、住宿费、市内交通费以及到各分站的交通费等费用，由投标人自行解决。</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更换下的元件和设备产权归采购人所有，投标人不得以任何借口带走。</w:t>
      </w:r>
    </w:p>
    <w:p w:rsidR="005D026D" w:rsidRDefault="005D026D" w:rsidP="005D026D">
      <w:pPr>
        <w:widowControl/>
        <w:numPr>
          <w:ilvl w:val="6"/>
          <w:numId w:val="7"/>
        </w:numPr>
        <w:tabs>
          <w:tab w:val="left" w:pos="424"/>
        </w:tabs>
        <w:spacing w:line="360" w:lineRule="auto"/>
        <w:ind w:left="0" w:firstLineChars="200" w:firstLine="420"/>
        <w:jc w:val="left"/>
        <w:rPr>
          <w:rFonts w:ascii="宋体" w:hAnsi="宋体" w:cs="宋体" w:hint="eastAsia"/>
          <w:szCs w:val="21"/>
          <w:lang w:val="zh-CN"/>
        </w:rPr>
      </w:pPr>
      <w:r>
        <w:rPr>
          <w:rFonts w:ascii="宋体" w:hAnsi="宋体" w:cs="宋体" w:hint="eastAsia"/>
          <w:szCs w:val="21"/>
          <w:lang w:val="zh-CN"/>
        </w:rPr>
        <w:t>每次维修维护后，对维修维护的设备进行全面测试，各项性能指标不得低于维修维护前的水平。</w:t>
      </w:r>
    </w:p>
    <w:p w:rsidR="005D026D" w:rsidRDefault="005D026D" w:rsidP="005D026D">
      <w:pPr>
        <w:widowControl/>
        <w:numPr>
          <w:ilvl w:val="6"/>
          <w:numId w:val="7"/>
        </w:numPr>
        <w:tabs>
          <w:tab w:val="left" w:pos="424"/>
        </w:tabs>
        <w:spacing w:line="360" w:lineRule="auto"/>
        <w:ind w:left="0" w:firstLineChars="200" w:firstLine="422"/>
        <w:jc w:val="left"/>
        <w:rPr>
          <w:rFonts w:ascii="宋体" w:hAnsi="宋体" w:cs="宋体" w:hint="eastAsia"/>
          <w:szCs w:val="21"/>
          <w:lang w:val="zh-CN"/>
        </w:rPr>
      </w:pPr>
      <w:r>
        <w:rPr>
          <w:rFonts w:ascii="宋体" w:hAnsi="宋体" w:cs="宋体" w:hint="eastAsia"/>
          <w:b/>
          <w:szCs w:val="21"/>
          <w:lang w:val="zh-CN"/>
        </w:rPr>
        <w:t>投标人必须提供原制造厂家法国泰雷兹公司的维修或售后服务承诺书。</w:t>
      </w:r>
    </w:p>
    <w:p w:rsidR="005D026D" w:rsidRDefault="005D026D" w:rsidP="005D026D">
      <w:pPr>
        <w:widowControl/>
        <w:tabs>
          <w:tab w:val="left" w:pos="424"/>
        </w:tabs>
        <w:spacing w:line="360" w:lineRule="auto"/>
        <w:ind w:firstLineChars="200" w:firstLine="422"/>
        <w:jc w:val="left"/>
        <w:rPr>
          <w:rFonts w:ascii="宋体" w:hAnsi="宋体" w:cs="宋体" w:hint="eastAsia"/>
          <w:szCs w:val="21"/>
          <w:lang w:val="zh-CN"/>
        </w:rPr>
      </w:pPr>
      <w:r>
        <w:rPr>
          <w:rFonts w:ascii="宋体" w:hAnsi="宋体" w:cs="宋体" w:hint="eastAsia"/>
          <w:b/>
          <w:szCs w:val="21"/>
          <w:lang w:val="zh-CN"/>
        </w:rPr>
        <w:t>★（9）交接过程中发现的设备故障由中标人负责维修，相关费用由中标人负责。</w:t>
      </w:r>
    </w:p>
    <w:p w:rsidR="005D026D" w:rsidRDefault="005D026D" w:rsidP="005D026D">
      <w:pPr>
        <w:spacing w:line="360" w:lineRule="auto"/>
        <w:ind w:leftChars="200" w:left="420"/>
        <w:jc w:val="left"/>
        <w:rPr>
          <w:rFonts w:ascii="宋体" w:hAnsi="宋体" w:cs="宋体" w:hint="eastAsia"/>
          <w:b/>
          <w:szCs w:val="21"/>
        </w:rPr>
      </w:pPr>
      <w:bookmarkStart w:id="23" w:name="_Toc488304697"/>
      <w:bookmarkStart w:id="24" w:name="_Toc488413361"/>
      <w:r>
        <w:rPr>
          <w:rFonts w:ascii="宋体" w:hAnsi="宋体" w:cs="宋体" w:hint="eastAsia"/>
          <w:b/>
          <w:szCs w:val="21"/>
        </w:rPr>
        <w:t>★（10）中标人须承诺对本项目专账管理核算并且建立工作记录台</w:t>
      </w:r>
      <w:proofErr w:type="gramStart"/>
      <w:r>
        <w:rPr>
          <w:rFonts w:ascii="宋体" w:hAnsi="宋体" w:cs="宋体" w:hint="eastAsia"/>
          <w:b/>
          <w:szCs w:val="21"/>
        </w:rPr>
        <w:t>账</w:t>
      </w:r>
      <w:proofErr w:type="gramEnd"/>
      <w:r>
        <w:rPr>
          <w:rFonts w:ascii="宋体" w:hAnsi="宋体" w:cs="宋体" w:hint="eastAsia"/>
          <w:b/>
          <w:szCs w:val="21"/>
        </w:rPr>
        <w:t>附于项目验收报告中。</w:t>
      </w:r>
    </w:p>
    <w:p w:rsidR="005D026D" w:rsidRDefault="005D026D" w:rsidP="005D026D">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（11）中标人需按照采购人要求进行成本披露，并作为项目验收文件备查。</w:t>
      </w:r>
    </w:p>
    <w:p w:rsidR="005D026D" w:rsidRDefault="005D026D" w:rsidP="005D026D">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（12）中标人须配合采购人开展本项目相关的审计、验收、绩效评价工作，不受服务期限限制。政府有关审计检查时 中标人应无条件配合。</w:t>
      </w:r>
    </w:p>
    <w:p w:rsidR="005D026D" w:rsidRDefault="005D026D" w:rsidP="005D026D">
      <w:pPr>
        <w:tabs>
          <w:tab w:val="left" w:pos="636"/>
        </w:tabs>
        <w:spacing w:line="360" w:lineRule="auto"/>
        <w:ind w:leftChars="200" w:left="420"/>
        <w:jc w:val="left"/>
        <w:rPr>
          <w:rFonts w:ascii="宋体" w:hAnsi="宋体" w:cs="宋体" w:hint="eastAsia"/>
          <w:szCs w:val="21"/>
        </w:rPr>
      </w:pPr>
      <w:r>
        <w:rPr>
          <w:rFonts w:ascii="宋体" w:hAnsi="宋体" w:cs="宋体" w:hint="eastAsia"/>
          <w:szCs w:val="21"/>
        </w:rPr>
        <w:t>（13）除保密法规另有规定情形以外，合同订立的相关保密条款应不干涉采购人资金管理工作的开展。</w:t>
      </w:r>
    </w:p>
    <w:p w:rsidR="005D026D" w:rsidRDefault="005D026D" w:rsidP="005D026D">
      <w:pPr>
        <w:widowControl/>
        <w:numPr>
          <w:ilvl w:val="0"/>
          <w:numId w:val="1"/>
        </w:numPr>
        <w:tabs>
          <w:tab w:val="left" w:pos="424"/>
        </w:tabs>
        <w:spacing w:line="360" w:lineRule="auto"/>
        <w:ind w:firstLineChars="200" w:firstLine="422"/>
        <w:outlineLvl w:val="3"/>
        <w:rPr>
          <w:rFonts w:ascii="宋体" w:hAnsi="宋体" w:cs="宋体" w:hint="eastAsia"/>
          <w:b/>
          <w:szCs w:val="21"/>
        </w:rPr>
      </w:pPr>
      <w:r>
        <w:rPr>
          <w:rFonts w:ascii="宋体" w:hAnsi="宋体" w:cs="宋体" w:hint="eastAsia"/>
          <w:b/>
          <w:szCs w:val="21"/>
        </w:rPr>
        <w:t>维保范围</w:t>
      </w:r>
      <w:bookmarkEnd w:id="23"/>
      <w:bookmarkEnd w:id="24"/>
    </w:p>
    <w:p w:rsidR="005D026D" w:rsidRDefault="005D026D" w:rsidP="005D026D">
      <w:pPr>
        <w:widowControl/>
        <w:tabs>
          <w:tab w:val="left" w:pos="424"/>
        </w:tabs>
        <w:spacing w:line="360" w:lineRule="auto"/>
        <w:ind w:firstLineChars="200" w:firstLine="420"/>
        <w:jc w:val="left"/>
        <w:rPr>
          <w:rFonts w:ascii="宋体" w:hAnsi="宋体" w:cs="宋体" w:hint="eastAsia"/>
          <w:szCs w:val="21"/>
        </w:rPr>
      </w:pPr>
      <w:r>
        <w:rPr>
          <w:rFonts w:ascii="宋体" w:hAnsi="宋体" w:cs="宋体" w:hint="eastAsia"/>
          <w:kern w:val="0"/>
          <w:szCs w:val="21"/>
        </w:rPr>
        <w:t xml:space="preserve">广州（2套）、珠海、汕头、佛山、韶关、湛江、肇庆、江门、茂名、惠州、梅州、汕尾、河源、阳江、清远、东莞、中山、潮州、揭阳、云浮共21套Esmeralda </w:t>
      </w:r>
      <w:r>
        <w:rPr>
          <w:rFonts w:ascii="宋体" w:hAnsi="宋体" w:cs="宋体" w:hint="eastAsia"/>
          <w:szCs w:val="21"/>
        </w:rPr>
        <w:t>XE车载监测主设备，包括车载监测测向天线及一套可搬移天线，以及移动站内全部附属设施。</w:t>
      </w:r>
    </w:p>
    <w:p w:rsidR="005D026D" w:rsidRPr="005D026D" w:rsidRDefault="005D026D"/>
    <w:sectPr w:rsidR="005D026D" w:rsidRPr="005D02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90C" w:rsidRDefault="009D690C" w:rsidP="00C35F9B">
      <w:r>
        <w:separator/>
      </w:r>
    </w:p>
  </w:endnote>
  <w:endnote w:type="continuationSeparator" w:id="0">
    <w:p w:rsidR="009D690C" w:rsidRDefault="009D690C" w:rsidP="00C3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987478"/>
      <w:docPartObj>
        <w:docPartGallery w:val="Page Numbers (Bottom of Page)"/>
        <w:docPartUnique/>
      </w:docPartObj>
    </w:sdtPr>
    <w:sdtContent>
      <w:p w:rsidR="00C35F9B" w:rsidRDefault="00C35F9B">
        <w:pPr>
          <w:pStyle w:val="a7"/>
          <w:jc w:val="center"/>
        </w:pPr>
        <w:r>
          <w:fldChar w:fldCharType="begin"/>
        </w:r>
        <w:r>
          <w:instrText>PAGE   \* MERGEFORMAT</w:instrText>
        </w:r>
        <w:r>
          <w:fldChar w:fldCharType="separate"/>
        </w:r>
        <w:r>
          <w:rPr>
            <w:lang w:val="zh-CN"/>
          </w:rPr>
          <w:t>2</w:t>
        </w:r>
        <w:r>
          <w:fldChar w:fldCharType="end"/>
        </w:r>
      </w:p>
    </w:sdtContent>
  </w:sdt>
  <w:p w:rsidR="00C35F9B" w:rsidRDefault="00C35F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90C" w:rsidRDefault="009D690C" w:rsidP="00C35F9B">
      <w:r>
        <w:separator/>
      </w:r>
    </w:p>
  </w:footnote>
  <w:footnote w:type="continuationSeparator" w:id="0">
    <w:p w:rsidR="009D690C" w:rsidRDefault="009D690C" w:rsidP="00C3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66F"/>
    <w:multiLevelType w:val="multilevel"/>
    <w:tmpl w:val="0354666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B29200D"/>
    <w:multiLevelType w:val="multilevel"/>
    <w:tmpl w:val="1B29200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554152B"/>
    <w:multiLevelType w:val="multilevel"/>
    <w:tmpl w:val="3554152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790176B"/>
    <w:multiLevelType w:val="multilevel"/>
    <w:tmpl w:val="4790176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82F6CAB"/>
    <w:multiLevelType w:val="singleLevel"/>
    <w:tmpl w:val="482F6CAB"/>
    <w:lvl w:ilvl="0">
      <w:start w:val="1"/>
      <w:numFmt w:val="decimal"/>
      <w:suff w:val="nothing"/>
      <w:lvlText w:val="%1、"/>
      <w:lvlJc w:val="left"/>
      <w:pPr>
        <w:ind w:left="0" w:firstLine="0"/>
      </w:pPr>
      <w:rPr>
        <w:rFonts w:hint="eastAsia"/>
      </w:rPr>
    </w:lvl>
  </w:abstractNum>
  <w:abstractNum w:abstractNumId="5" w15:restartNumberingAfterBreak="0">
    <w:nsid w:val="4FC454B5"/>
    <w:multiLevelType w:val="multilevel"/>
    <w:tmpl w:val="4FC454B5"/>
    <w:lvl w:ilvl="0">
      <w:start w:val="1"/>
      <w:numFmt w:val="lowerRoman"/>
      <w:lvlText w:val="%1."/>
      <w:lvlJc w:val="righ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0551B1F"/>
    <w:multiLevelType w:val="multilevel"/>
    <w:tmpl w:val="50551B1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rPr>
        <w:rFonts w:hint="eastAsia"/>
      </w:r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6D"/>
    <w:rsid w:val="005D026D"/>
    <w:rsid w:val="009D690C"/>
    <w:rsid w:val="00C3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52C8"/>
  <w15:chartTrackingRefBased/>
  <w15:docId w15:val="{0972334F-F871-41E3-8660-E6EDF95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D026D"/>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D026D"/>
    <w:pPr>
      <w:spacing w:after="120"/>
    </w:pPr>
  </w:style>
  <w:style w:type="character" w:customStyle="1" w:styleId="a4">
    <w:name w:val="正文文本 字符"/>
    <w:basedOn w:val="a1"/>
    <w:link w:val="a0"/>
    <w:uiPriority w:val="99"/>
    <w:semiHidden/>
    <w:rsid w:val="005D026D"/>
    <w:rPr>
      <w:rFonts w:ascii="Times New Roman" w:eastAsia="宋体" w:hAnsi="Times New Roman" w:cs="Times New Roman"/>
      <w:szCs w:val="20"/>
    </w:rPr>
  </w:style>
  <w:style w:type="paragraph" w:styleId="a5">
    <w:name w:val="header"/>
    <w:basedOn w:val="a"/>
    <w:link w:val="a6"/>
    <w:uiPriority w:val="99"/>
    <w:unhideWhenUsed/>
    <w:rsid w:val="00C35F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C35F9B"/>
    <w:rPr>
      <w:rFonts w:ascii="Times New Roman" w:eastAsia="宋体" w:hAnsi="Times New Roman" w:cs="Times New Roman"/>
      <w:sz w:val="18"/>
      <w:szCs w:val="18"/>
    </w:rPr>
  </w:style>
  <w:style w:type="paragraph" w:styleId="a7">
    <w:name w:val="footer"/>
    <w:basedOn w:val="a"/>
    <w:link w:val="a8"/>
    <w:uiPriority w:val="99"/>
    <w:unhideWhenUsed/>
    <w:rsid w:val="00C35F9B"/>
    <w:pPr>
      <w:tabs>
        <w:tab w:val="center" w:pos="4153"/>
        <w:tab w:val="right" w:pos="8306"/>
      </w:tabs>
      <w:snapToGrid w:val="0"/>
      <w:jc w:val="left"/>
    </w:pPr>
    <w:rPr>
      <w:sz w:val="18"/>
      <w:szCs w:val="18"/>
    </w:rPr>
  </w:style>
  <w:style w:type="character" w:customStyle="1" w:styleId="a8">
    <w:name w:val="页脚 字符"/>
    <w:basedOn w:val="a1"/>
    <w:link w:val="a7"/>
    <w:uiPriority w:val="99"/>
    <w:rsid w:val="00C35F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莫健勋</dc:creator>
  <cp:keywords/>
  <dc:description/>
  <cp:lastModifiedBy>莫健勋</cp:lastModifiedBy>
  <cp:revision>2</cp:revision>
  <dcterms:created xsi:type="dcterms:W3CDTF">2021-05-28T11:35:00Z</dcterms:created>
  <dcterms:modified xsi:type="dcterms:W3CDTF">2021-05-28T11:36:00Z</dcterms:modified>
</cp:coreProperties>
</file>